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附件2</w:t>
      </w:r>
    </w:p>
    <w:p>
      <w:pPr>
        <w:jc w:val="left"/>
        <w:rPr>
          <w:rFonts w:hint="eastAsia" w:ascii="仿宋" w:hAnsi="仿宋" w:eastAsia="仿宋" w:cs="仿宋"/>
          <w:b w:val="0"/>
          <w:bCs/>
          <w:color w:val="000000"/>
          <w:sz w:val="32"/>
          <w:szCs w:val="32"/>
          <w:lang w:val="en-US" w:eastAsia="zh-CN"/>
        </w:rPr>
      </w:pPr>
    </w:p>
    <w:p>
      <w:pPr>
        <w:jc w:val="center"/>
        <w:rPr>
          <w:rFonts w:hint="eastAsia" w:ascii="宋体" w:hAnsi="宋体" w:eastAsia="宋体" w:cs="宋体"/>
          <w:b/>
          <w:color w:val="000000"/>
          <w:sz w:val="44"/>
          <w:szCs w:val="44"/>
        </w:rPr>
      </w:pPr>
      <w:r>
        <w:rPr>
          <w:rFonts w:hint="eastAsia" w:ascii="宋体" w:hAnsi="宋体" w:eastAsia="宋体" w:cs="宋体"/>
          <w:b/>
          <w:color w:val="000000"/>
          <w:sz w:val="44"/>
          <w:szCs w:val="44"/>
        </w:rPr>
        <w:t>云南省土地规划行业信用管理办法（试行）</w:t>
      </w:r>
    </w:p>
    <w:p>
      <w:pPr>
        <w:jc w:val="center"/>
        <w:rPr>
          <w:rFonts w:hint="eastAsia" w:ascii="仿宋" w:hAnsi="仿宋" w:eastAsia="仿宋" w:cs="仿宋"/>
          <w:b/>
          <w:color w:val="00000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b/>
          <w:bCs/>
          <w:color w:val="202020"/>
          <w:kern w:val="0"/>
          <w:sz w:val="32"/>
          <w:szCs w:val="32"/>
        </w:rPr>
        <w:t>第一条</w:t>
      </w:r>
      <w:r>
        <w:rPr>
          <w:rFonts w:hint="eastAsia" w:ascii="仿宋" w:hAnsi="仿宋" w:eastAsia="仿宋" w:cs="仿宋"/>
          <w:color w:val="202020"/>
          <w:kern w:val="0"/>
          <w:sz w:val="32"/>
          <w:szCs w:val="32"/>
        </w:rPr>
        <w:t xml:space="preserve"> 为加快推进土地规划行业信用体系建设，促进规划资质单位诚信自律，维护公平有序市场环境，保障土地规划产业健康发展，制定本办法。</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b/>
          <w:bCs/>
          <w:color w:val="202020"/>
          <w:kern w:val="0"/>
          <w:sz w:val="32"/>
          <w:szCs w:val="32"/>
        </w:rPr>
        <w:t>第二条</w:t>
      </w:r>
      <w:r>
        <w:rPr>
          <w:rFonts w:hint="eastAsia" w:ascii="仿宋" w:hAnsi="仿宋" w:eastAsia="仿宋" w:cs="仿宋"/>
          <w:color w:val="202020"/>
          <w:kern w:val="0"/>
          <w:sz w:val="32"/>
          <w:szCs w:val="32"/>
        </w:rPr>
        <w:t xml:space="preserve"> 本办法适用于规划资质单位信用信息的征集、发布和管理等。</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b/>
          <w:bCs/>
          <w:color w:val="202020"/>
          <w:kern w:val="0"/>
          <w:sz w:val="32"/>
          <w:szCs w:val="32"/>
        </w:rPr>
        <w:t>第三条</w:t>
      </w:r>
      <w:r>
        <w:rPr>
          <w:rFonts w:hint="eastAsia" w:ascii="仿宋" w:hAnsi="仿宋" w:eastAsia="仿宋" w:cs="仿宋"/>
          <w:color w:val="202020"/>
          <w:kern w:val="0"/>
          <w:sz w:val="32"/>
          <w:szCs w:val="32"/>
        </w:rPr>
        <w:t xml:space="preserve"> 征集、发布和管理规划资质单位信用信息，应当遵循合法、公正、准确、及时的原则，依法保护国家利益、社会公共利益和规划资质单位合法权益。</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b/>
          <w:bCs/>
          <w:color w:val="202020"/>
          <w:kern w:val="0"/>
          <w:sz w:val="32"/>
          <w:szCs w:val="32"/>
        </w:rPr>
        <w:t>第四条</w:t>
      </w:r>
      <w:r>
        <w:rPr>
          <w:rFonts w:hint="eastAsia" w:ascii="仿宋" w:hAnsi="仿宋" w:eastAsia="仿宋" w:cs="仿宋"/>
          <w:color w:val="202020"/>
          <w:kern w:val="0"/>
          <w:sz w:val="32"/>
          <w:szCs w:val="32"/>
        </w:rPr>
        <w:t xml:space="preserve"> 云南省土地学会负责规划资质单位信用信息的征集、发布和管理工作。</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b/>
          <w:bCs/>
          <w:color w:val="202020"/>
          <w:kern w:val="0"/>
          <w:sz w:val="32"/>
          <w:szCs w:val="32"/>
        </w:rPr>
        <w:t>第五条</w:t>
      </w:r>
      <w:r>
        <w:rPr>
          <w:rFonts w:hint="eastAsia" w:ascii="仿宋" w:hAnsi="仿宋" w:eastAsia="仿宋" w:cs="仿宋"/>
          <w:color w:val="202020"/>
          <w:kern w:val="0"/>
          <w:sz w:val="32"/>
          <w:szCs w:val="32"/>
        </w:rPr>
        <w:t xml:space="preserve"> 规划资质单位信用信息由基本信息、良好信息和不良信息构成：</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color w:val="202020"/>
          <w:kern w:val="0"/>
          <w:sz w:val="32"/>
          <w:szCs w:val="32"/>
        </w:rPr>
        <w:t>（一）基本信息是指规划资质单位资质条件、</w:t>
      </w:r>
      <w:r>
        <w:rPr>
          <w:rFonts w:hint="eastAsia" w:ascii="仿宋" w:hAnsi="仿宋" w:eastAsia="仿宋" w:cs="仿宋"/>
          <w:color w:val="auto"/>
          <w:kern w:val="0"/>
          <w:sz w:val="32"/>
          <w:szCs w:val="32"/>
        </w:rPr>
        <w:t>年</w:t>
      </w:r>
      <w:r>
        <w:rPr>
          <w:rFonts w:hint="eastAsia" w:ascii="仿宋" w:hAnsi="仿宋" w:eastAsia="仿宋" w:cs="仿宋"/>
          <w:color w:val="auto"/>
          <w:kern w:val="0"/>
          <w:sz w:val="32"/>
          <w:szCs w:val="32"/>
          <w:lang w:eastAsia="zh-CN"/>
        </w:rPr>
        <w:t>度</w:t>
      </w:r>
      <w:r>
        <w:rPr>
          <w:rFonts w:hint="eastAsia" w:ascii="仿宋" w:hAnsi="仿宋" w:eastAsia="仿宋" w:cs="仿宋"/>
          <w:color w:val="auto"/>
          <w:kern w:val="0"/>
          <w:sz w:val="32"/>
          <w:szCs w:val="32"/>
        </w:rPr>
        <w:t>报告公</w:t>
      </w:r>
      <w:r>
        <w:rPr>
          <w:rFonts w:hint="eastAsia" w:ascii="仿宋" w:hAnsi="仿宋" w:eastAsia="仿宋" w:cs="仿宋"/>
          <w:color w:val="202020"/>
          <w:kern w:val="0"/>
          <w:sz w:val="32"/>
          <w:szCs w:val="32"/>
        </w:rPr>
        <w:t>示等基本情况信息。</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color w:val="202020"/>
          <w:kern w:val="0"/>
          <w:sz w:val="32"/>
          <w:szCs w:val="32"/>
        </w:rPr>
        <w:t>（二）良好信息是指规划资质单位受到表彰、奖励、取得荣誉、科技创新、社会贡献等信息。</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color w:val="202020"/>
          <w:kern w:val="0"/>
          <w:sz w:val="32"/>
          <w:szCs w:val="32"/>
        </w:rPr>
        <w:t>（三）不良信息是指规划资质单位违反土地规划及相关法律法规和政策规定、承担项目出现严重质量问题、被服务对象投诉或给予差评等产生失信行为的信息。不良信息分为严重失信信息、一般失信信息和轻微失信信息。</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b/>
          <w:bCs/>
          <w:color w:val="202020"/>
          <w:kern w:val="0"/>
          <w:sz w:val="32"/>
          <w:szCs w:val="32"/>
        </w:rPr>
        <w:t>第六条</w:t>
      </w:r>
      <w:r>
        <w:rPr>
          <w:rFonts w:hint="eastAsia" w:ascii="仿宋" w:hAnsi="仿宋" w:eastAsia="仿宋" w:cs="仿宋"/>
          <w:color w:val="202020"/>
          <w:kern w:val="0"/>
          <w:sz w:val="32"/>
          <w:szCs w:val="32"/>
        </w:rPr>
        <w:t xml:space="preserve"> 规划资质单位信用信息主要来源如下：</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color w:val="202020"/>
          <w:kern w:val="0"/>
          <w:sz w:val="32"/>
          <w:szCs w:val="32"/>
        </w:rPr>
        <w:t>（一）</w:t>
      </w:r>
      <w:r>
        <w:rPr>
          <w:rFonts w:hint="eastAsia" w:ascii="仿宋" w:hAnsi="仿宋" w:eastAsia="仿宋" w:cs="仿宋"/>
          <w:color w:val="auto"/>
          <w:kern w:val="0"/>
          <w:sz w:val="32"/>
          <w:szCs w:val="32"/>
        </w:rPr>
        <w:t>自然资源</w:t>
      </w:r>
      <w:r>
        <w:rPr>
          <w:rFonts w:hint="eastAsia" w:ascii="仿宋" w:hAnsi="仿宋" w:eastAsia="仿宋" w:cs="仿宋"/>
          <w:color w:val="202020"/>
          <w:kern w:val="0"/>
          <w:sz w:val="32"/>
          <w:szCs w:val="32"/>
        </w:rPr>
        <w:t>行政主管部门征集；</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color w:val="202020"/>
          <w:kern w:val="0"/>
          <w:sz w:val="32"/>
          <w:szCs w:val="32"/>
        </w:rPr>
        <w:t>（二）规划资质单位申报；</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bookmarkStart w:id="0" w:name="_GoBack"/>
      <w:bookmarkEnd w:id="0"/>
      <w:r>
        <w:rPr>
          <w:rFonts w:hint="eastAsia" w:ascii="仿宋" w:hAnsi="仿宋" w:eastAsia="仿宋" w:cs="仿宋"/>
          <w:color w:val="202020"/>
          <w:kern w:val="0"/>
          <w:sz w:val="32"/>
          <w:szCs w:val="32"/>
        </w:rPr>
        <w:t>（三）政府有关部门公开信息查询；</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color w:val="202020"/>
          <w:kern w:val="0"/>
          <w:sz w:val="32"/>
          <w:szCs w:val="32"/>
        </w:rPr>
        <w:t>（四）经查实的公众举报；</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color w:val="202020"/>
          <w:kern w:val="0"/>
          <w:sz w:val="32"/>
          <w:szCs w:val="32"/>
        </w:rPr>
        <w:t>（五）其他有关渠道。</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color w:val="202020"/>
          <w:kern w:val="0"/>
          <w:sz w:val="32"/>
          <w:szCs w:val="32"/>
        </w:rPr>
        <w:t>征集规划资质单位信用信息不得采用欺骗、盗窃、胁迫、利用计算机网络侵入或者其他不正当手段。</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b/>
          <w:bCs/>
          <w:color w:val="202020"/>
          <w:kern w:val="0"/>
          <w:sz w:val="32"/>
          <w:szCs w:val="32"/>
        </w:rPr>
        <w:t>第七条</w:t>
      </w:r>
      <w:r>
        <w:rPr>
          <w:rFonts w:hint="eastAsia" w:ascii="仿宋" w:hAnsi="仿宋" w:eastAsia="仿宋" w:cs="仿宋"/>
          <w:color w:val="202020"/>
          <w:kern w:val="0"/>
          <w:sz w:val="32"/>
          <w:szCs w:val="32"/>
        </w:rPr>
        <w:t xml:space="preserve"> 云南省土地学会按照国家社会信用信息平台建设总体要求，逐步健全信用信息共享机制，推进云南省土地学会与相关部门之间的信用信息互联互通、共享共治。</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b/>
          <w:bCs/>
          <w:color w:val="202020"/>
          <w:kern w:val="0"/>
          <w:sz w:val="32"/>
          <w:szCs w:val="32"/>
        </w:rPr>
        <w:t>第八条</w:t>
      </w:r>
      <w:r>
        <w:rPr>
          <w:rFonts w:hint="eastAsia" w:ascii="仿宋" w:hAnsi="仿宋" w:eastAsia="仿宋" w:cs="仿宋"/>
          <w:color w:val="202020"/>
          <w:kern w:val="0"/>
          <w:sz w:val="32"/>
          <w:szCs w:val="32"/>
        </w:rPr>
        <w:t xml:space="preserve"> 规划资质单位信用信息经云南省土地学会审核后生效。</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b/>
          <w:bCs/>
          <w:color w:val="202020"/>
          <w:kern w:val="0"/>
          <w:sz w:val="32"/>
          <w:szCs w:val="32"/>
        </w:rPr>
        <w:t>第九条</w:t>
      </w:r>
      <w:r>
        <w:rPr>
          <w:rFonts w:hint="eastAsia" w:ascii="仿宋" w:hAnsi="仿宋" w:eastAsia="仿宋" w:cs="仿宋"/>
          <w:color w:val="202020"/>
          <w:kern w:val="0"/>
          <w:sz w:val="32"/>
          <w:szCs w:val="32"/>
        </w:rPr>
        <w:t xml:space="preserve"> 规划资质单位的信用信息通过云南省土地学会网站公开发布，公民、法人或者其他组织均可查询。</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auto"/>
          <w:kern w:val="0"/>
          <w:sz w:val="32"/>
          <w:szCs w:val="32"/>
        </w:rPr>
      </w:pPr>
      <w:r>
        <w:rPr>
          <w:rFonts w:hint="eastAsia" w:ascii="仿宋" w:hAnsi="仿宋" w:eastAsia="仿宋" w:cs="仿宋"/>
          <w:b/>
          <w:bCs/>
          <w:color w:val="auto"/>
          <w:kern w:val="0"/>
          <w:sz w:val="32"/>
          <w:szCs w:val="32"/>
        </w:rPr>
        <w:t>第十条</w:t>
      </w:r>
      <w:r>
        <w:rPr>
          <w:rFonts w:hint="eastAsia" w:ascii="仿宋" w:hAnsi="仿宋" w:eastAsia="仿宋" w:cs="仿宋"/>
          <w:color w:val="auto"/>
          <w:kern w:val="0"/>
          <w:sz w:val="32"/>
          <w:szCs w:val="32"/>
        </w:rPr>
        <w:t xml:space="preserve"> 规划资质单位可以向云南省土地学会申请获取本单位的信用报告。</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其他查询者获取规划资质单位的信用报告，应当向云南省土地学会提交载明查询事由的书面申请及该规划资质单位同意查询的书面意见。</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b/>
          <w:bCs/>
          <w:color w:val="202020"/>
          <w:kern w:val="0"/>
          <w:sz w:val="32"/>
          <w:szCs w:val="32"/>
        </w:rPr>
        <w:t>第十一条</w:t>
      </w:r>
      <w:r>
        <w:rPr>
          <w:rFonts w:hint="eastAsia" w:ascii="仿宋" w:hAnsi="仿宋" w:eastAsia="仿宋" w:cs="仿宋"/>
          <w:color w:val="202020"/>
          <w:kern w:val="0"/>
          <w:sz w:val="32"/>
          <w:szCs w:val="32"/>
        </w:rPr>
        <w:t xml:space="preserve"> 公民、法人或者其他组织对规划资质单位信用信息存在异议的，可以向云南省土地学会提交书面核查申请及相关证据。</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color w:val="202020"/>
          <w:kern w:val="0"/>
          <w:sz w:val="32"/>
          <w:szCs w:val="32"/>
        </w:rPr>
        <w:t>异议处理期间，应当暂停发布该异议信息。</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b/>
          <w:bCs/>
          <w:color w:val="202020"/>
          <w:kern w:val="0"/>
          <w:sz w:val="32"/>
          <w:szCs w:val="32"/>
        </w:rPr>
        <w:t>第十二条</w:t>
      </w:r>
      <w:r>
        <w:rPr>
          <w:rFonts w:hint="eastAsia" w:ascii="仿宋" w:hAnsi="仿宋" w:eastAsia="仿宋" w:cs="仿宋"/>
          <w:color w:val="202020"/>
          <w:kern w:val="0"/>
          <w:sz w:val="32"/>
          <w:szCs w:val="32"/>
        </w:rPr>
        <w:t xml:space="preserve"> 云南省土地学会应当自收到异议申请之日起30日内，按照下列规定处理：</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color w:val="202020"/>
          <w:kern w:val="0"/>
          <w:sz w:val="32"/>
          <w:szCs w:val="32"/>
        </w:rPr>
        <w:t>（一）经核实异议信息确需更正的，由云南省土地学会及时更正，并书面告知异议申请人。</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color w:val="202020"/>
          <w:kern w:val="0"/>
          <w:sz w:val="32"/>
          <w:szCs w:val="32"/>
        </w:rPr>
        <w:t>（二）经核实异议信息无需更正的，由云南省土地学会告知异议申请人。</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auto"/>
          <w:sz w:val="32"/>
          <w:szCs w:val="32"/>
          <w:shd w:val="clear" w:color="auto" w:fill="FFFFFF"/>
        </w:rPr>
      </w:pPr>
      <w:r>
        <w:rPr>
          <w:rFonts w:hint="eastAsia" w:ascii="仿宋" w:hAnsi="仿宋" w:eastAsia="仿宋" w:cs="仿宋"/>
          <w:b/>
          <w:bCs/>
          <w:color w:val="202020"/>
          <w:kern w:val="0"/>
          <w:sz w:val="32"/>
          <w:szCs w:val="32"/>
        </w:rPr>
        <w:t>第十三条</w:t>
      </w:r>
      <w:r>
        <w:rPr>
          <w:rFonts w:hint="eastAsia" w:ascii="仿宋" w:hAnsi="仿宋" w:eastAsia="仿宋" w:cs="仿宋"/>
          <w:color w:val="202020"/>
          <w:kern w:val="0"/>
          <w:sz w:val="32"/>
          <w:szCs w:val="32"/>
        </w:rPr>
        <w:t xml:space="preserve"> </w:t>
      </w:r>
      <w:r>
        <w:rPr>
          <w:rFonts w:hint="eastAsia" w:ascii="仿宋" w:hAnsi="仿宋" w:eastAsia="仿宋" w:cs="仿宋"/>
          <w:color w:val="auto"/>
          <w:kern w:val="0"/>
          <w:sz w:val="32"/>
          <w:szCs w:val="32"/>
        </w:rPr>
        <w:t>规划资质单位信用实行累积记分制度，记分周期为2年，基础为10分，资质初次领取、延续、升级、降级之日记分（包括加分和扣分）予以清除。</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b/>
          <w:color w:val="auto"/>
          <w:kern w:val="0"/>
          <w:sz w:val="32"/>
          <w:szCs w:val="32"/>
        </w:rPr>
      </w:pPr>
      <w:r>
        <w:rPr>
          <w:rFonts w:hint="eastAsia" w:ascii="仿宋" w:hAnsi="仿宋" w:eastAsia="仿宋" w:cs="仿宋"/>
          <w:b/>
          <w:bCs/>
          <w:color w:val="202020"/>
          <w:kern w:val="0"/>
          <w:sz w:val="32"/>
          <w:szCs w:val="32"/>
        </w:rPr>
        <w:t>第十三条</w:t>
      </w:r>
      <w:r>
        <w:rPr>
          <w:rFonts w:hint="eastAsia" w:ascii="仿宋" w:hAnsi="仿宋" w:eastAsia="仿宋" w:cs="仿宋"/>
          <w:color w:val="202020"/>
          <w:kern w:val="0"/>
          <w:sz w:val="32"/>
          <w:szCs w:val="32"/>
        </w:rPr>
        <w:t xml:space="preserve"> 规划资质单位信用等级分为A、B、C、D四个等级，分别代表守信、基本守信、失信、严重失信四级信用程度。采用量化评分法评定等级，</w:t>
      </w:r>
      <w:r>
        <w:rPr>
          <w:rFonts w:hint="eastAsia" w:ascii="仿宋" w:hAnsi="仿宋" w:eastAsia="仿宋" w:cs="仿宋"/>
          <w:color w:val="auto"/>
          <w:kern w:val="0"/>
          <w:sz w:val="32"/>
          <w:szCs w:val="32"/>
        </w:rPr>
        <w:t>10分（包含）以上评定为A级，8分（包含）以上、10分以下评定为B级，6分（包含）以上、8分以下评定为C级，6分（不含）以下评定为D级。</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b/>
          <w:bCs/>
          <w:color w:val="202020"/>
          <w:kern w:val="0"/>
          <w:sz w:val="32"/>
          <w:szCs w:val="32"/>
        </w:rPr>
        <w:t>第十四条</w:t>
      </w:r>
      <w:r>
        <w:rPr>
          <w:rFonts w:hint="eastAsia" w:ascii="仿宋" w:hAnsi="仿宋" w:eastAsia="仿宋" w:cs="仿宋"/>
          <w:color w:val="202020"/>
          <w:kern w:val="0"/>
          <w:sz w:val="32"/>
          <w:szCs w:val="32"/>
        </w:rPr>
        <w:t xml:space="preserve"> </w:t>
      </w:r>
      <w:r>
        <w:rPr>
          <w:rFonts w:hint="eastAsia" w:ascii="仿宋" w:hAnsi="仿宋" w:eastAsia="仿宋" w:cs="仿宋"/>
          <w:color w:val="202020"/>
          <w:kern w:val="0"/>
          <w:sz w:val="32"/>
          <w:szCs w:val="32"/>
          <w:lang w:eastAsia="zh-CN"/>
        </w:rPr>
        <w:t>自然资源</w:t>
      </w:r>
      <w:r>
        <w:rPr>
          <w:rFonts w:hint="eastAsia" w:ascii="仿宋" w:hAnsi="仿宋" w:eastAsia="仿宋" w:cs="仿宋"/>
          <w:color w:val="202020"/>
          <w:kern w:val="0"/>
          <w:sz w:val="32"/>
          <w:szCs w:val="32"/>
        </w:rPr>
        <w:t>行政主管部门在履行行业管理和公共服务职责过程中，应当褒扬诚信、惩戒失信。对信用良好的单位，采取公开表扬、给予优先、加大扶持等相关激励措施。对信用不良的单位，列为重点监管对象，采取限制或者取消享有相关优惠政策、加大日常监督检查频次等惩戒措施。</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b/>
          <w:bCs/>
          <w:color w:val="202020"/>
          <w:kern w:val="0"/>
          <w:sz w:val="32"/>
          <w:szCs w:val="32"/>
        </w:rPr>
        <w:t>第十五条</w:t>
      </w:r>
      <w:r>
        <w:rPr>
          <w:rFonts w:hint="eastAsia" w:ascii="仿宋" w:hAnsi="仿宋" w:eastAsia="仿宋" w:cs="仿宋"/>
          <w:color w:val="202020"/>
          <w:kern w:val="0"/>
          <w:sz w:val="32"/>
          <w:szCs w:val="32"/>
        </w:rPr>
        <w:t xml:space="preserve"> 云南省土地学会依规履行信用管理工作职责时，相关单位和个人应当主动配合，不得隐瞒、拒绝和阻挠。</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b/>
          <w:bCs/>
          <w:color w:val="202020"/>
          <w:kern w:val="0"/>
          <w:sz w:val="32"/>
          <w:szCs w:val="32"/>
        </w:rPr>
        <w:t>第十六条</w:t>
      </w:r>
      <w:r>
        <w:rPr>
          <w:rFonts w:hint="eastAsia" w:ascii="仿宋" w:hAnsi="仿宋" w:eastAsia="仿宋" w:cs="仿宋"/>
          <w:color w:val="202020"/>
          <w:kern w:val="0"/>
          <w:sz w:val="32"/>
          <w:szCs w:val="32"/>
        </w:rPr>
        <w:t xml:space="preserve"> 规划资质单位认为其合法权益在信用管理工作中受到侵害的，可以向云南省土地学会投诉。受理投诉的云南省土地学会应当在30日内做出处理。</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b/>
          <w:bCs/>
          <w:color w:val="202020"/>
          <w:kern w:val="0"/>
          <w:sz w:val="32"/>
          <w:szCs w:val="32"/>
        </w:rPr>
        <w:t>第十七条</w:t>
      </w:r>
      <w:r>
        <w:rPr>
          <w:rFonts w:hint="eastAsia" w:ascii="仿宋" w:hAnsi="仿宋" w:eastAsia="仿宋" w:cs="仿宋"/>
          <w:color w:val="202020"/>
          <w:kern w:val="0"/>
          <w:sz w:val="32"/>
          <w:szCs w:val="32"/>
        </w:rPr>
        <w:t xml:space="preserve"> 云南省土地学会工作人员在信用管理工作中滥用职权、玩忽职守、徇私舞弊，或者泄露国家秘密、商业秘密和个人隐私的，依法予以相应处理；构成犯罪的，依法追究刑事责任。</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left="0" w:leftChars="0" w:right="0" w:rightChars="0" w:firstLine="482" w:firstLineChars="0"/>
        <w:jc w:val="both"/>
        <w:textAlignment w:val="auto"/>
        <w:outlineLvl w:val="9"/>
        <w:rPr>
          <w:rFonts w:hint="eastAsia" w:ascii="仿宋" w:hAnsi="仿宋" w:eastAsia="仿宋" w:cs="仿宋"/>
          <w:color w:val="202020"/>
          <w:kern w:val="0"/>
          <w:sz w:val="32"/>
          <w:szCs w:val="32"/>
        </w:rPr>
      </w:pPr>
      <w:r>
        <w:rPr>
          <w:rFonts w:hint="eastAsia" w:ascii="仿宋" w:hAnsi="仿宋" w:eastAsia="仿宋" w:cs="仿宋"/>
          <w:b/>
          <w:bCs/>
          <w:color w:val="202020"/>
          <w:kern w:val="0"/>
          <w:sz w:val="32"/>
          <w:szCs w:val="32"/>
        </w:rPr>
        <w:t>第十八条</w:t>
      </w:r>
      <w:r>
        <w:rPr>
          <w:rFonts w:hint="eastAsia" w:ascii="仿宋" w:hAnsi="仿宋" w:eastAsia="仿宋" w:cs="仿宋"/>
          <w:color w:val="202020"/>
          <w:kern w:val="0"/>
          <w:sz w:val="32"/>
          <w:szCs w:val="32"/>
        </w:rPr>
        <w:t xml:space="preserve"> 《土地规划行业信用管理办法（试行）》和《土地规划行业信用指标体系（试行）》</w:t>
      </w:r>
      <w:r>
        <w:rPr>
          <w:rFonts w:hint="eastAsia" w:ascii="仿宋" w:hAnsi="仿宋" w:eastAsia="仿宋" w:cs="仿宋"/>
          <w:color w:val="auto"/>
          <w:kern w:val="0"/>
          <w:sz w:val="32"/>
          <w:szCs w:val="32"/>
        </w:rPr>
        <w:t>自2019年4月1日起试行。</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left="0" w:leftChars="0" w:right="0" w:rightChars="0" w:firstLine="480"/>
        <w:jc w:val="both"/>
        <w:textAlignment w:val="auto"/>
        <w:outlineLvl w:val="9"/>
        <w:rPr>
          <w:rFonts w:hint="eastAsia" w:ascii="仿宋" w:hAnsi="仿宋" w:eastAsia="仿宋" w:cs="仿宋"/>
          <w:color w:val="202020"/>
          <w:kern w:val="0"/>
          <w:sz w:val="32"/>
          <w:szCs w:val="3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500" w:lineRule="exact"/>
        <w:ind w:left="0" w:leftChars="0" w:right="0" w:rightChars="0"/>
        <w:jc w:val="center"/>
        <w:textAlignment w:val="auto"/>
        <w:outlineLvl w:val="9"/>
        <w:rPr>
          <w:rFonts w:ascii="宋体" w:hAnsi="宋体" w:eastAsia="宋体" w:cs="Times New Roman"/>
          <w:b/>
          <w:color w:val="000000"/>
          <w:sz w:val="36"/>
          <w:szCs w:val="44"/>
        </w:rPr>
      </w:pPr>
      <w:r>
        <w:rPr>
          <w:rFonts w:hint="eastAsia" w:ascii="宋体" w:hAnsi="宋体" w:eastAsia="宋体" w:cs="Times New Roman"/>
          <w:b/>
          <w:color w:val="000000"/>
          <w:sz w:val="36"/>
          <w:szCs w:val="44"/>
        </w:rPr>
        <w:t>云南省土地规划行业信用指标体系（试行）</w:t>
      </w:r>
    </w:p>
    <w:p>
      <w:pPr>
        <w:keepNext w:val="0"/>
        <w:keepLines w:val="0"/>
        <w:pageBreakBefore w:val="0"/>
        <w:kinsoku/>
        <w:wordWrap/>
        <w:overflowPunct/>
        <w:topLinePunct w:val="0"/>
        <w:autoSpaceDE/>
        <w:autoSpaceDN/>
        <w:bidi w:val="0"/>
        <w:adjustRightInd/>
        <w:snapToGrid/>
        <w:spacing w:line="500" w:lineRule="exact"/>
        <w:ind w:left="0" w:leftChars="0" w:right="0" w:rightChars="0"/>
        <w:jc w:val="center"/>
        <w:textAlignment w:val="auto"/>
        <w:outlineLvl w:val="9"/>
        <w:rPr>
          <w:rFonts w:ascii="宋体" w:hAnsi="宋体" w:eastAsia="宋体" w:cs="Times New Roman"/>
          <w:b/>
          <w:color w:val="000000"/>
          <w:sz w:val="24"/>
          <w:szCs w:val="44"/>
        </w:rPr>
      </w:pPr>
    </w:p>
    <w:tbl>
      <w:tblPr>
        <w:tblStyle w:val="7"/>
        <w:tblW w:w="8478" w:type="dxa"/>
        <w:jc w:val="center"/>
        <w:tblInd w:w="0" w:type="dxa"/>
        <w:tblLayout w:type="fixed"/>
        <w:tblCellMar>
          <w:top w:w="0" w:type="dxa"/>
          <w:left w:w="108" w:type="dxa"/>
          <w:bottom w:w="0" w:type="dxa"/>
          <w:right w:w="108" w:type="dxa"/>
        </w:tblCellMar>
      </w:tblPr>
      <w:tblGrid>
        <w:gridCol w:w="426"/>
        <w:gridCol w:w="439"/>
        <w:gridCol w:w="5117"/>
        <w:gridCol w:w="2496"/>
      </w:tblGrid>
      <w:tr>
        <w:tblPrEx>
          <w:tblLayout w:type="fixed"/>
          <w:tblCellMar>
            <w:top w:w="0" w:type="dxa"/>
            <w:left w:w="108" w:type="dxa"/>
            <w:bottom w:w="0" w:type="dxa"/>
            <w:right w:w="108" w:type="dxa"/>
          </w:tblCellMar>
        </w:tblPrEx>
        <w:trPr>
          <w:trHeight w:val="454" w:hRule="atLeast"/>
          <w:tblHeader/>
          <w:jc w:val="center"/>
        </w:trPr>
        <w:tc>
          <w:tcPr>
            <w:tcW w:w="8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center"/>
              <w:textAlignment w:val="auto"/>
              <w:outlineLvl w:val="9"/>
              <w:rPr>
                <w:rFonts w:ascii="仿宋_GB2312" w:hAnsi="等线" w:eastAsia="仿宋_GB2312" w:cs="宋体"/>
                <w:b/>
                <w:bCs/>
                <w:color w:val="000000"/>
                <w:kern w:val="0"/>
                <w:szCs w:val="21"/>
              </w:rPr>
            </w:pPr>
            <w:r>
              <w:rPr>
                <w:rFonts w:hint="eastAsia" w:ascii="仿宋_GB2312" w:hAnsi="等线" w:eastAsia="仿宋_GB2312" w:cs="宋体"/>
                <w:b/>
                <w:bCs/>
                <w:color w:val="000000"/>
                <w:kern w:val="0"/>
                <w:szCs w:val="21"/>
              </w:rPr>
              <w:t>类别</w:t>
            </w:r>
          </w:p>
        </w:tc>
        <w:tc>
          <w:tcPr>
            <w:tcW w:w="5117"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center"/>
              <w:textAlignment w:val="auto"/>
              <w:outlineLvl w:val="9"/>
              <w:rPr>
                <w:rFonts w:ascii="仿宋_GB2312" w:hAnsi="等线" w:eastAsia="仿宋_GB2312" w:cs="宋体"/>
                <w:b/>
                <w:bCs/>
                <w:color w:val="000000"/>
                <w:kern w:val="0"/>
                <w:szCs w:val="21"/>
              </w:rPr>
            </w:pPr>
            <w:r>
              <w:rPr>
                <w:rFonts w:hint="eastAsia" w:ascii="仿宋_GB2312" w:hAnsi="等线" w:eastAsia="仿宋_GB2312" w:cs="宋体"/>
                <w:b/>
                <w:bCs/>
                <w:color w:val="000000"/>
                <w:kern w:val="0"/>
                <w:szCs w:val="21"/>
              </w:rPr>
              <w:t>指标内容</w:t>
            </w:r>
          </w:p>
        </w:tc>
        <w:tc>
          <w:tcPr>
            <w:tcW w:w="249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center"/>
              <w:textAlignment w:val="auto"/>
              <w:outlineLvl w:val="9"/>
              <w:rPr>
                <w:rFonts w:ascii="仿宋_GB2312" w:hAnsi="等线" w:eastAsia="仿宋_GB2312" w:cs="宋体"/>
                <w:b/>
                <w:bCs/>
                <w:color w:val="000000"/>
                <w:kern w:val="0"/>
                <w:szCs w:val="21"/>
              </w:rPr>
            </w:pPr>
            <w:r>
              <w:rPr>
                <w:rFonts w:hint="eastAsia" w:ascii="仿宋_GB2312" w:hAnsi="等线" w:eastAsia="仿宋_GB2312" w:cs="宋体"/>
                <w:b/>
                <w:bCs/>
                <w:color w:val="000000"/>
                <w:kern w:val="0"/>
                <w:szCs w:val="21"/>
              </w:rPr>
              <w:t>计分标准说明</w:t>
            </w:r>
          </w:p>
        </w:tc>
      </w:tr>
      <w:tr>
        <w:tblPrEx>
          <w:tblLayout w:type="fixed"/>
          <w:tblCellMar>
            <w:top w:w="0" w:type="dxa"/>
            <w:left w:w="108" w:type="dxa"/>
            <w:bottom w:w="0" w:type="dxa"/>
            <w:right w:w="108" w:type="dxa"/>
          </w:tblCellMar>
        </w:tblPrEx>
        <w:trPr>
          <w:trHeight w:val="454" w:hRule="atLeast"/>
          <w:jc w:val="center"/>
        </w:trPr>
        <w:tc>
          <w:tcPr>
            <w:tcW w:w="8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center"/>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基本</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center"/>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信息</w:t>
            </w: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技术、质量、经营、财务、安全、保密管理制度等</w:t>
            </w:r>
          </w:p>
        </w:tc>
        <w:tc>
          <w:tcPr>
            <w:tcW w:w="249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半年报告和巡查结果较上一期明显提高加2分。</w:t>
            </w:r>
          </w:p>
        </w:tc>
      </w:tr>
      <w:tr>
        <w:tblPrEx>
          <w:tblLayout w:type="fixed"/>
          <w:tblCellMar>
            <w:top w:w="0" w:type="dxa"/>
            <w:left w:w="108" w:type="dxa"/>
            <w:bottom w:w="0" w:type="dxa"/>
            <w:right w:w="108" w:type="dxa"/>
          </w:tblCellMar>
        </w:tblPrEx>
        <w:trPr>
          <w:trHeight w:val="454" w:hRule="atLeast"/>
          <w:jc w:val="center"/>
        </w:trPr>
        <w:tc>
          <w:tcPr>
            <w:tcW w:w="8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center"/>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良好</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center"/>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信息</w:t>
            </w: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获得工商、银行、税务等部门授予的良好资信评级</w:t>
            </w:r>
          </w:p>
        </w:tc>
        <w:tc>
          <w:tcPr>
            <w:tcW w:w="2496"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国家级每次加2分，省级每次加1分，州（市）级每次加0.5分。</w:t>
            </w:r>
          </w:p>
        </w:tc>
      </w:tr>
      <w:tr>
        <w:tblPrEx>
          <w:tblLayout w:type="fixed"/>
          <w:tblCellMar>
            <w:top w:w="0" w:type="dxa"/>
            <w:left w:w="108" w:type="dxa"/>
            <w:bottom w:w="0" w:type="dxa"/>
            <w:right w:w="108" w:type="dxa"/>
          </w:tblCellMar>
        </w:tblPrEx>
        <w:trPr>
          <w:trHeight w:val="454" w:hRule="atLeast"/>
          <w:jc w:val="center"/>
        </w:trPr>
        <w:tc>
          <w:tcPr>
            <w:tcW w:w="865"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受到州（市）级以上人民政府及有关行政管理部门的表彰奖励</w:t>
            </w:r>
          </w:p>
        </w:tc>
        <w:tc>
          <w:tcPr>
            <w:tcW w:w="2496"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865"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获得国家和省土地规划领域学会、协会等社会团体评定的相关奖项或荣誉称号</w:t>
            </w:r>
          </w:p>
        </w:tc>
        <w:tc>
          <w:tcPr>
            <w:tcW w:w="2496"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865"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取得土地规划领域相关产品发明专利权、软件著作权</w:t>
            </w:r>
          </w:p>
        </w:tc>
        <w:tc>
          <w:tcPr>
            <w:tcW w:w="2496"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865"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在国家级或省级质量监督检查中，批成果质量合格且样本质量等级达到优级</w:t>
            </w:r>
          </w:p>
        </w:tc>
        <w:tc>
          <w:tcPr>
            <w:tcW w:w="2496"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865"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参与编写国家级或省级土地规划行业标准或技术规范</w:t>
            </w:r>
          </w:p>
        </w:tc>
        <w:tc>
          <w:tcPr>
            <w:tcW w:w="2496"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center"/>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不良信息</w:t>
            </w:r>
          </w:p>
        </w:tc>
        <w:tc>
          <w:tcPr>
            <w:tcW w:w="439"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center"/>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严重失信信息</w:t>
            </w: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被工商机关吊销营业执照</w:t>
            </w:r>
          </w:p>
        </w:tc>
        <w:tc>
          <w:tcPr>
            <w:tcW w:w="2496" w:type="dxa"/>
            <w:vMerge w:val="restart"/>
            <w:tcBorders>
              <w:top w:val="nil"/>
              <w:left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仿宋_GB2312" w:hAnsi="等线" w:eastAsia="仿宋_GB2312" w:cs="宋体"/>
                <w:color w:val="000000"/>
                <w:kern w:val="0"/>
                <w:szCs w:val="21"/>
              </w:rPr>
            </w:pPr>
            <w:r>
              <w:rPr>
                <w:rFonts w:hint="eastAsia" w:ascii="仿宋_GB2312" w:hAnsi="等线" w:eastAsia="仿宋_GB2312" w:cs="宋体"/>
                <w:color w:val="000000"/>
                <w:kern w:val="0"/>
                <w:szCs w:val="21"/>
              </w:rPr>
              <w:t>扣10分，吊销资质</w:t>
            </w: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在从事规划活动中，因泄露国家秘密被国家安全机关查处</w:t>
            </w:r>
          </w:p>
        </w:tc>
        <w:tc>
          <w:tcPr>
            <w:tcW w:w="2496" w:type="dxa"/>
            <w:vMerge w:val="continue"/>
            <w:tcBorders>
              <w:left w:val="nil"/>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以欺骗手段取得规划资质证书从事规划活动</w:t>
            </w:r>
          </w:p>
        </w:tc>
        <w:tc>
          <w:tcPr>
            <w:tcW w:w="2496" w:type="dxa"/>
            <w:vMerge w:val="continue"/>
            <w:tcBorders>
              <w:left w:val="nil"/>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受到其他行政处罚或被依法追究刑事责任</w:t>
            </w:r>
          </w:p>
        </w:tc>
        <w:tc>
          <w:tcPr>
            <w:tcW w:w="2496" w:type="dxa"/>
            <w:vMerge w:val="continue"/>
            <w:tcBorders>
              <w:left w:val="nil"/>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涂改、倒卖、出租、出借或者以其他形式转让规划资质证书</w:t>
            </w:r>
          </w:p>
        </w:tc>
        <w:tc>
          <w:tcPr>
            <w:tcW w:w="2496" w:type="dxa"/>
            <w:vMerge w:val="continue"/>
            <w:tcBorders>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因与规划有关的不良行为被提起民事诉讼，法院终审判决规划资质单位承担责任或者履行义务</w:t>
            </w:r>
          </w:p>
        </w:tc>
        <w:tc>
          <w:tcPr>
            <w:tcW w:w="2496" w:type="dxa"/>
            <w:vMerge w:val="restart"/>
            <w:tcBorders>
              <w:top w:val="nil"/>
              <w:left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仿宋_GB2312" w:hAnsi="等线" w:eastAsia="仿宋_GB2312" w:cs="宋体"/>
                <w:color w:val="000000"/>
                <w:kern w:val="0"/>
                <w:szCs w:val="21"/>
              </w:rPr>
            </w:pPr>
            <w:r>
              <w:rPr>
                <w:rFonts w:hint="eastAsia" w:ascii="仿宋_GB2312" w:hAnsi="等线" w:eastAsia="仿宋_GB2312" w:cs="宋体"/>
                <w:color w:val="000000"/>
                <w:kern w:val="0"/>
                <w:szCs w:val="21"/>
              </w:rPr>
              <w:t>每次扣5分。</w:t>
            </w: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违反保密规定加工、处理和利用涉密成果，存在泄密隐患被查处</w:t>
            </w:r>
          </w:p>
        </w:tc>
        <w:tc>
          <w:tcPr>
            <w:tcW w:w="2496" w:type="dxa"/>
            <w:vMerge w:val="continue"/>
            <w:tcBorders>
              <w:left w:val="nil"/>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侵犯商业秘密或者知识产权被查处</w:t>
            </w:r>
          </w:p>
        </w:tc>
        <w:tc>
          <w:tcPr>
            <w:tcW w:w="2496" w:type="dxa"/>
            <w:vMerge w:val="continue"/>
            <w:tcBorders>
              <w:left w:val="nil"/>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由于市场不正当竞争行为被查处</w:t>
            </w:r>
          </w:p>
        </w:tc>
        <w:tc>
          <w:tcPr>
            <w:tcW w:w="2496" w:type="dxa"/>
            <w:vMerge w:val="continue"/>
            <w:tcBorders>
              <w:left w:val="nil"/>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伪造、变造规划成果</w:t>
            </w:r>
          </w:p>
        </w:tc>
        <w:tc>
          <w:tcPr>
            <w:tcW w:w="2496" w:type="dxa"/>
            <w:vMerge w:val="continue"/>
            <w:tcBorders>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以其他规划资质单位名义从事规划活动</w:t>
            </w:r>
          </w:p>
        </w:tc>
        <w:tc>
          <w:tcPr>
            <w:tcW w:w="2496" w:type="dxa"/>
            <w:vMerge w:val="restart"/>
            <w:tcBorders>
              <w:top w:val="nil"/>
              <w:left w:val="nil"/>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每次扣4分。</w:t>
            </w: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允许其他单位以本单位的名义从事规划活动</w:t>
            </w:r>
          </w:p>
        </w:tc>
        <w:tc>
          <w:tcPr>
            <w:tcW w:w="2496" w:type="dxa"/>
            <w:vMerge w:val="continue"/>
            <w:tcBorders>
              <w:left w:val="nil"/>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规划资质单位将承包的规划项目转包</w:t>
            </w:r>
          </w:p>
        </w:tc>
        <w:tc>
          <w:tcPr>
            <w:tcW w:w="2496" w:type="dxa"/>
            <w:vMerge w:val="continue"/>
            <w:tcBorders>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超越资质等级许可范围从事规划活动</w:t>
            </w:r>
          </w:p>
        </w:tc>
        <w:tc>
          <w:tcPr>
            <w:tcW w:w="2496" w:type="dxa"/>
            <w:vMerge w:val="restart"/>
            <w:tcBorders>
              <w:top w:val="nil"/>
              <w:left w:val="nil"/>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每次扣3分。</w:t>
            </w: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规划成果质量经质检机构判定为批不合格</w:t>
            </w:r>
          </w:p>
        </w:tc>
        <w:tc>
          <w:tcPr>
            <w:tcW w:w="2496" w:type="dxa"/>
            <w:vMerge w:val="continue"/>
            <w:tcBorders>
              <w:left w:val="nil"/>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规划成果同一个项目连续两次评审验收不通过</w:t>
            </w:r>
          </w:p>
        </w:tc>
        <w:tc>
          <w:tcPr>
            <w:tcW w:w="2496" w:type="dxa"/>
            <w:vMerge w:val="continue"/>
            <w:tcBorders>
              <w:left w:val="nil"/>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仿宋_GB2312" w:hAnsi="等线" w:eastAsia="仿宋_GB2312" w:cs="宋体"/>
                <w:color w:val="000000"/>
                <w:kern w:val="0"/>
                <w:szCs w:val="21"/>
              </w:rPr>
            </w:pPr>
            <w:r>
              <w:rPr>
                <w:rFonts w:hint="eastAsia" w:ascii="仿宋_GB2312" w:hAnsi="等线" w:eastAsia="仿宋_GB2312" w:cs="宋体"/>
                <w:color w:val="000000"/>
                <w:kern w:val="0"/>
                <w:szCs w:val="21"/>
              </w:rPr>
              <w:t>被服务对象投诉或给予差评</w:t>
            </w:r>
          </w:p>
        </w:tc>
        <w:tc>
          <w:tcPr>
            <w:tcW w:w="2496" w:type="dxa"/>
            <w:vMerge w:val="continue"/>
            <w:tcBorders>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center"/>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一般失信信息</w:t>
            </w: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提供虚假土地规划行政许可申请材料</w:t>
            </w:r>
          </w:p>
        </w:tc>
        <w:tc>
          <w:tcPr>
            <w:tcW w:w="2496"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每次扣2分。</w:t>
            </w: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不配合云南省土地学会依法实施监督检查，隐瞒、拒绝和阻碍提供有关文件、资料</w:t>
            </w:r>
          </w:p>
        </w:tc>
        <w:tc>
          <w:tcPr>
            <w:tcW w:w="2496"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在土地规划市场巡查检查中发现的规划资质单位经营异常信息</w:t>
            </w:r>
          </w:p>
        </w:tc>
        <w:tc>
          <w:tcPr>
            <w:tcW w:w="2496"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不履行与规划有关的处罚、判决、裁定等，被人民法院强制执行</w:t>
            </w:r>
          </w:p>
        </w:tc>
        <w:tc>
          <w:tcPr>
            <w:tcW w:w="2496"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未按规定汇交规划成果资料</w:t>
            </w:r>
          </w:p>
        </w:tc>
        <w:tc>
          <w:tcPr>
            <w:tcW w:w="2496"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center"/>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轻微失信信息</w:t>
            </w: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规划资质单位名称、注册地址、法定代表人等工商登记事项发生变化30日内未申请变更</w:t>
            </w:r>
          </w:p>
        </w:tc>
        <w:tc>
          <w:tcPr>
            <w:tcW w:w="2496"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每次扣1分。</w:t>
            </w: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未按照相关规定要求履行规划项目备案（任务登记、验证登记等）义务</w:t>
            </w:r>
          </w:p>
        </w:tc>
        <w:tc>
          <w:tcPr>
            <w:tcW w:w="2496"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未按要求报送规划资质半年度报告</w:t>
            </w:r>
          </w:p>
        </w:tc>
        <w:tc>
          <w:tcPr>
            <w:tcW w:w="2496"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r>
        <w:tblPrEx>
          <w:tblLayout w:type="fixed"/>
          <w:tblCellMar>
            <w:top w:w="0" w:type="dxa"/>
            <w:left w:w="108" w:type="dxa"/>
            <w:bottom w:w="0" w:type="dxa"/>
            <w:right w:w="108" w:type="dxa"/>
          </w:tblCellMar>
        </w:tblPrEx>
        <w:trPr>
          <w:trHeight w:val="454" w:hRule="atLeast"/>
          <w:jc w:val="center"/>
        </w:trPr>
        <w:tc>
          <w:tcPr>
            <w:tcW w:w="426"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439"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c>
          <w:tcPr>
            <w:tcW w:w="511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未按云南省土地学会要求参加业务培训会、交流会和研讨会</w:t>
            </w:r>
          </w:p>
        </w:tc>
        <w:tc>
          <w:tcPr>
            <w:tcW w:w="2496"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ascii="仿宋_GB2312" w:hAnsi="等线" w:eastAsia="仿宋_GB2312" w:cs="宋体"/>
                <w:color w:val="000000"/>
                <w:kern w:val="0"/>
                <w:szCs w:val="21"/>
              </w:rPr>
            </w:pPr>
          </w:p>
        </w:tc>
      </w:tr>
    </w:tbl>
    <w:p>
      <w:pPr>
        <w:keepNext w:val="0"/>
        <w:keepLines w:val="0"/>
        <w:pageBreakBefore w:val="0"/>
        <w:kinsoku/>
        <w:wordWrap/>
        <w:overflowPunct/>
        <w:topLinePunct w:val="0"/>
        <w:autoSpaceDE/>
        <w:autoSpaceDN/>
        <w:bidi w:val="0"/>
        <w:adjustRightInd/>
        <w:snapToGrid/>
        <w:spacing w:line="500" w:lineRule="exact"/>
        <w:ind w:left="0" w:leftChars="0" w:right="0" w:rightChars="0"/>
        <w:jc w:val="center"/>
        <w:textAlignment w:val="auto"/>
        <w:outlineLvl w:val="9"/>
        <w:rPr>
          <w:rFonts w:ascii="宋体" w:hAnsi="宋体" w:eastAsia="宋体" w:cs="Times New Roman"/>
          <w:b/>
          <w:color w:val="000000"/>
          <w:sz w:val="36"/>
          <w:szCs w:val="44"/>
        </w:rPr>
      </w:pPr>
    </w:p>
    <w:p>
      <w:pPr>
        <w:keepNext w:val="0"/>
        <w:keepLines w:val="0"/>
        <w:pageBreakBefore w:val="0"/>
        <w:kinsoku/>
        <w:wordWrap/>
        <w:overflowPunct/>
        <w:topLinePunct w:val="0"/>
        <w:autoSpaceDE/>
        <w:autoSpaceDN/>
        <w:bidi w:val="0"/>
        <w:adjustRightInd/>
        <w:snapToGrid/>
        <w:spacing w:line="500" w:lineRule="exact"/>
        <w:ind w:left="0" w:leftChars="0" w:right="0" w:rightChars="0"/>
        <w:jc w:val="center"/>
        <w:textAlignment w:val="auto"/>
        <w:outlineLvl w:val="9"/>
        <w:rPr>
          <w:rFonts w:ascii="宋体" w:hAnsi="宋体" w:eastAsia="宋体" w:cs="Times New Roman"/>
          <w:b/>
          <w:color w:val="000000"/>
          <w:sz w:val="36"/>
          <w:szCs w:val="44"/>
        </w:rPr>
      </w:pP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outlineLvl w:val="9"/>
        <w:rPr>
          <w:rFonts w:ascii="仿宋_GB2312" w:eastAsia="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roman"/>
    <w:pitch w:val="default"/>
    <w:sig w:usb0="80000287" w:usb1="280F3C52" w:usb2="00000016" w:usb3="00000000" w:csb0="0004001F" w:csb1="00000000"/>
  </w:font>
  <w:font w:name="等线">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华文隶书">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DzzfY5wQIAANYFAAAOAAAAAAAA&#10;AAEAIAAAAB8BAABkcnMvZTJvRG9jLnhtbFBLBQYAAAAABgAGAFkBAABSBg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B1C"/>
    <w:rsid w:val="00001568"/>
    <w:rsid w:val="000078B2"/>
    <w:rsid w:val="000406B0"/>
    <w:rsid w:val="00044EF0"/>
    <w:rsid w:val="00081B02"/>
    <w:rsid w:val="00097CFD"/>
    <w:rsid w:val="000A1D6E"/>
    <w:rsid w:val="000A2750"/>
    <w:rsid w:val="000A695F"/>
    <w:rsid w:val="000C6409"/>
    <w:rsid w:val="000E65C4"/>
    <w:rsid w:val="001035BE"/>
    <w:rsid w:val="001855FB"/>
    <w:rsid w:val="001E2253"/>
    <w:rsid w:val="001E4995"/>
    <w:rsid w:val="001E6C39"/>
    <w:rsid w:val="001F6FB8"/>
    <w:rsid w:val="0020379A"/>
    <w:rsid w:val="002233AA"/>
    <w:rsid w:val="00237E5D"/>
    <w:rsid w:val="0026683E"/>
    <w:rsid w:val="002B7826"/>
    <w:rsid w:val="002C1DFB"/>
    <w:rsid w:val="002D1DDD"/>
    <w:rsid w:val="002E1A96"/>
    <w:rsid w:val="002F5490"/>
    <w:rsid w:val="002F705C"/>
    <w:rsid w:val="0031649C"/>
    <w:rsid w:val="00356142"/>
    <w:rsid w:val="00357CF4"/>
    <w:rsid w:val="00387DF1"/>
    <w:rsid w:val="003924B4"/>
    <w:rsid w:val="003C6BC1"/>
    <w:rsid w:val="003D22F6"/>
    <w:rsid w:val="00426FD0"/>
    <w:rsid w:val="00431B8E"/>
    <w:rsid w:val="00457A95"/>
    <w:rsid w:val="00480A0E"/>
    <w:rsid w:val="0049043A"/>
    <w:rsid w:val="00492900"/>
    <w:rsid w:val="004B3348"/>
    <w:rsid w:val="004C12F8"/>
    <w:rsid w:val="004C1D5E"/>
    <w:rsid w:val="00532667"/>
    <w:rsid w:val="00541142"/>
    <w:rsid w:val="005858DA"/>
    <w:rsid w:val="00587976"/>
    <w:rsid w:val="00590243"/>
    <w:rsid w:val="0059129A"/>
    <w:rsid w:val="005B29EB"/>
    <w:rsid w:val="005C56C5"/>
    <w:rsid w:val="006200E6"/>
    <w:rsid w:val="00630192"/>
    <w:rsid w:val="00632FA2"/>
    <w:rsid w:val="00633E80"/>
    <w:rsid w:val="00645AAE"/>
    <w:rsid w:val="0065107F"/>
    <w:rsid w:val="006577D4"/>
    <w:rsid w:val="006619CF"/>
    <w:rsid w:val="006631D5"/>
    <w:rsid w:val="006744A6"/>
    <w:rsid w:val="006825F2"/>
    <w:rsid w:val="006B5F91"/>
    <w:rsid w:val="006B6A5B"/>
    <w:rsid w:val="006B72AC"/>
    <w:rsid w:val="006D0ACF"/>
    <w:rsid w:val="006E6F49"/>
    <w:rsid w:val="006F0B06"/>
    <w:rsid w:val="00704A17"/>
    <w:rsid w:val="00805377"/>
    <w:rsid w:val="00820F8D"/>
    <w:rsid w:val="00836251"/>
    <w:rsid w:val="008551D6"/>
    <w:rsid w:val="0086009D"/>
    <w:rsid w:val="00862233"/>
    <w:rsid w:val="00890FC1"/>
    <w:rsid w:val="008D0EAE"/>
    <w:rsid w:val="008D415F"/>
    <w:rsid w:val="0090588F"/>
    <w:rsid w:val="00912244"/>
    <w:rsid w:val="009638D5"/>
    <w:rsid w:val="00993409"/>
    <w:rsid w:val="009B5C98"/>
    <w:rsid w:val="009C4646"/>
    <w:rsid w:val="00A02BF5"/>
    <w:rsid w:val="00A07819"/>
    <w:rsid w:val="00A268CC"/>
    <w:rsid w:val="00A504AB"/>
    <w:rsid w:val="00A71D98"/>
    <w:rsid w:val="00A77221"/>
    <w:rsid w:val="00AA4519"/>
    <w:rsid w:val="00AB50B9"/>
    <w:rsid w:val="00AC6793"/>
    <w:rsid w:val="00AD01D2"/>
    <w:rsid w:val="00AD7972"/>
    <w:rsid w:val="00AE0CE8"/>
    <w:rsid w:val="00AE2328"/>
    <w:rsid w:val="00AF6B50"/>
    <w:rsid w:val="00B01D4C"/>
    <w:rsid w:val="00B528ED"/>
    <w:rsid w:val="00B57CD2"/>
    <w:rsid w:val="00B762B3"/>
    <w:rsid w:val="00B76EE1"/>
    <w:rsid w:val="00B856CD"/>
    <w:rsid w:val="00B90D03"/>
    <w:rsid w:val="00BD3DB1"/>
    <w:rsid w:val="00C0123A"/>
    <w:rsid w:val="00C16A5B"/>
    <w:rsid w:val="00C52B1C"/>
    <w:rsid w:val="00C82C0A"/>
    <w:rsid w:val="00C87AB3"/>
    <w:rsid w:val="00C97CD6"/>
    <w:rsid w:val="00CA196C"/>
    <w:rsid w:val="00CC4C34"/>
    <w:rsid w:val="00CD0AF8"/>
    <w:rsid w:val="00CF31DF"/>
    <w:rsid w:val="00D11FF9"/>
    <w:rsid w:val="00D356F0"/>
    <w:rsid w:val="00D408E4"/>
    <w:rsid w:val="00D63B07"/>
    <w:rsid w:val="00D8579C"/>
    <w:rsid w:val="00DB1568"/>
    <w:rsid w:val="00DC2F96"/>
    <w:rsid w:val="00DC3AAC"/>
    <w:rsid w:val="00DC6BB5"/>
    <w:rsid w:val="00DC7B1C"/>
    <w:rsid w:val="00DD5ACE"/>
    <w:rsid w:val="00DF393C"/>
    <w:rsid w:val="00E16ACC"/>
    <w:rsid w:val="00E2141D"/>
    <w:rsid w:val="00E46548"/>
    <w:rsid w:val="00E82966"/>
    <w:rsid w:val="00EB34CF"/>
    <w:rsid w:val="00F20B76"/>
    <w:rsid w:val="00F44B1A"/>
    <w:rsid w:val="00F618A4"/>
    <w:rsid w:val="00FA4AA5"/>
    <w:rsid w:val="00FC4384"/>
    <w:rsid w:val="00FC4ED9"/>
    <w:rsid w:val="00FC608B"/>
    <w:rsid w:val="00FD2FF9"/>
    <w:rsid w:val="00FE6823"/>
    <w:rsid w:val="0E8E4266"/>
    <w:rsid w:val="27352477"/>
    <w:rsid w:val="31DF4767"/>
    <w:rsid w:val="7E4B3E5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customStyle="1" w:styleId="8">
    <w:name w:val="页眉 字符"/>
    <w:basedOn w:val="5"/>
    <w:link w:val="3"/>
    <w:qFormat/>
    <w:uiPriority w:val="99"/>
    <w:rPr>
      <w:sz w:val="18"/>
      <w:szCs w:val="18"/>
    </w:rPr>
  </w:style>
  <w:style w:type="character" w:customStyle="1" w:styleId="9">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398</Words>
  <Characters>2270</Characters>
  <Lines>18</Lines>
  <Paragraphs>5</Paragraphs>
  <ScaleCrop>false</ScaleCrop>
  <LinksUpToDate>false</LinksUpToDate>
  <CharactersWithSpaces>2663</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2018-07-13T03:16:00Z</dcterms:created>
  <dc:creator>lenovo</dc:creator>
  <cp:lastModifiedBy>lenovo</cp:lastModifiedBy>
  <cp:lastPrinted>2019-03-07T05:36:11Z</cp:lastPrinted>
  <dcterms:modified xsi:type="dcterms:W3CDTF">2019-03-07T05:37:38Z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